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5985d74d9434815aa2f548e94d873ba32afb49"/>
    <w:p>
      <w:pPr>
        <w:pStyle w:val="Heading3"/>
      </w:pPr>
      <w:r>
        <w:t xml:space="preserve">Интервью Юлии Николенко газете «Московская перспектива»</w:t>
      </w:r>
    </w:p>
    <w:p>
      <w:pPr>
        <w:pStyle w:val="FirstParagraph"/>
      </w:pPr>
      <w:r>
        <w:t xml:space="preserve">17.10.2023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http://niac.mos.ru/presscenter/news/detail/11909376.html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ГАУ города Москвы «Научно-исследовательский Аналитический Центр»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niac.mos.ru" TargetMode="External" /><Relationship Type="http://schemas.openxmlformats.org/officeDocument/2006/relationships/hyperlink" Id="rId20" Target="http://niac.mos.ru/presscenter/news/detail/1190937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niac.mos.ru" TargetMode="External" /><Relationship Type="http://schemas.openxmlformats.org/officeDocument/2006/relationships/hyperlink" Id="rId20" Target="http://niac.mos.ru/presscenter/news/detail/1190937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2025-03-09T21:33:51Z</dcterms:created>
  <dcterms:modified xsi:type="dcterms:W3CDTF">2025-03-09T21:33:51Z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