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-днём-знаний"/>
    <w:p>
      <w:pPr>
        <w:pStyle w:val="Heading3"/>
      </w:pPr>
      <w:r>
        <w:t xml:space="preserve">С Днём знаний!</w:t>
      </w:r>
    </w:p>
    <w:p>
      <w:pPr>
        <w:pStyle w:val="FirstParagraph"/>
      </w:pPr>
      <w:r>
        <w:t xml:space="preserve">01.09.2023</w:t>
      </w:r>
    </w:p>
    <w:p>
      <w:pPr>
        <w:pStyle w:val="BodyText"/>
      </w:pPr>
      <w:r>
        <w:drawing>
          <wp:inline>
            <wp:extent cx="5334000" cy="16053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iac.mos.ru/www/media/День%20знаний-сайт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05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Поздравляем с праздником!</w:t>
      </w:r>
    </w:p>
    <w:p>
      <w:pPr>
        <w:pStyle w:val="BodyText"/>
      </w:pPr>
      <w:r>
        <w:t xml:space="preserve">В первом полугодии 2023 года ГАУ «НИАЦ», по заданию Москомэкспертизы, разработаны сметные нормы и единичные расценки, применяемые для строительства и капитального ремонта московских школ по Стандарту «Московская школа», версия 2.0.</w:t>
      </w:r>
    </w:p>
    <w:p>
      <w:pPr>
        <w:pStyle w:val="BodyText"/>
      </w:pPr>
      <w:r>
        <w:t xml:space="preserve">Поздравляем школьников и их родителей с началом нового учебного года! Желаем провести его в удобных и комфортных классах!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http://niac.mos.ru/presscenter/news/detail/11807944.html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ГАУ города Москвы «Научно-исследовательский Аналитический Центр»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niac.mos.ru" TargetMode="External" /><Relationship Type="http://schemas.openxmlformats.org/officeDocument/2006/relationships/hyperlink" Id="rId23" Target="http://niac.mos.ru/presscenter/news/detail/118079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niac.mos.ru" TargetMode="External" /><Relationship Type="http://schemas.openxmlformats.org/officeDocument/2006/relationships/hyperlink" Id="rId23" Target="http://niac.mos.ru/presscenter/news/detail/118079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2024-04-16T00:22:27Z</dcterms:created>
  <dcterms:modified xsi:type="dcterms:W3CDTF">2024-04-16T00:22:27Z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