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7840fbeab51e62114ea36a929c3d9d77dc5b97"/>
    <w:p>
      <w:pPr>
        <w:pStyle w:val="Heading3"/>
      </w:pPr>
      <w:r>
        <w:t xml:space="preserve">Что делать при обнаружении подозрительного предмета?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Что%20делать%20при%20обнаружении%20подозрительного%20предме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Что делать при обнаружении подозрительного предмета?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http://niac.mos.ru/presscenter/news/detail/11681394.html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media/Pamyatka_Podozritelnyj_predmet.pdf" TargetMode="External" /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1681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media/Pamyatka_Podozritelnyj_predmet.pdf" TargetMode="External" /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1681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2024-08-26T23:41:27Z</dcterms:created>
  <dcterms:modified xsi:type="dcterms:W3CDTF">2024-08-26T23:41:27Z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