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cda50498e8ca563c1157e29e20d08694b2d9c9"/>
    <w:p>
      <w:pPr>
        <w:pStyle w:val="Heading3"/>
      </w:pPr>
      <w:r>
        <w:t xml:space="preserve">Порядок действий должностных лиц и персонала организаций при получении сообщений, содержащих угрозы террористического характера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drawing>
          <wp:inline>
            <wp:extent cx="5334000" cy="1600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iac.mos.ru/www/media/Порядок%20действий%20должностных%20лиц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Порядок действий должностных лиц и персонала организаций при получении сообщений, содержащих угрозы террористического характера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http://niac.mos.ru/presscenter/news/detail/11681390.html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ГАУ города Москвы «Научно-исследовательский Аналитический Центр»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/media/NAKdoljlica.pdf" TargetMode="External" /><Relationship Type="http://schemas.openxmlformats.org/officeDocument/2006/relationships/hyperlink" Id="rId25" Target="http://niac.mos.ru" TargetMode="External" /><Relationship Type="http://schemas.openxmlformats.org/officeDocument/2006/relationships/hyperlink" Id="rId24" Target="http://niac.mos.ru/presscenter/news/detail/116813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media/NAKdoljlica.pdf" TargetMode="External" /><Relationship Type="http://schemas.openxmlformats.org/officeDocument/2006/relationships/hyperlink" Id="rId25" Target="http://niac.mos.ru" TargetMode="External" /><Relationship Type="http://schemas.openxmlformats.org/officeDocument/2006/relationships/hyperlink" Id="rId24" Target="http://niac.mos.ru/presscenter/news/detail/116813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2024-05-14T02:30:19Z</dcterms:created>
  <dcterms:modified xsi:type="dcterms:W3CDTF">2024-05-14T02:30:19Z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