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8604b3ded2493fa452d272618dc995af35093"/>
    <w:p>
      <w:pPr>
        <w:pStyle w:val="Heading3"/>
      </w:pPr>
      <w:r>
        <w:t xml:space="preserve">ГАУ «НИАЦ»: Определена динамика изменения цен на строительные материалы в феврале 2023 года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rPr>
          <w:bCs/>
          <w:b/>
        </w:rPr>
        <w:t xml:space="preserve">Государственное автономное учреждение города Москвы «Научно-исследовательский аналитический центр» (ГАУ «НИАЦ»), подведомственное Комитету города Москвы по ценовой политике в строительстве и государственной экспертизе проектов (Москомэкспертиза), сообщает о результатах ежемесячного мониторинга отпускных цен на строительные материалы в феврале 2023 года.</w:t>
      </w:r>
    </w:p>
    <w:p>
      <w:pPr>
        <w:pStyle w:val="BodyText"/>
      </w:pPr>
      <w:r>
        <w:t xml:space="preserve">Генеральный директор ГАУ «НИАЦ»</w:t>
      </w:r>
      <w:r>
        <w:t xml:space="preserve"> </w:t>
      </w:r>
      <w:r>
        <w:rPr>
          <w:bCs/>
          <w:b/>
        </w:rPr>
        <w:t xml:space="preserve">Юлия Николенко</w:t>
      </w:r>
      <w:r>
        <w:t xml:space="preserve"> </w:t>
      </w:r>
      <w:r>
        <w:t xml:space="preserve">рассказала о результатах проведения ежемесячного мониторинга отпускных цен на материалы, применяемые в строительстве за февраль 2023 года.</w:t>
      </w:r>
    </w:p>
    <w:p>
      <w:pPr>
        <w:pStyle w:val="BodyText"/>
      </w:pPr>
      <w:r>
        <w:rPr>
          <w:iCs/>
          <w:i/>
        </w:rPr>
        <w:t xml:space="preserve">«Сотрудники нашего Центра на регулярной основе осуществляют полный спектр аналитических работ и наблюдений, а также ведут разработку расценок и сметных показателей для материалов, применяемых при реализации строительных работ в столице. Так, по итогам мониторинга за февраль по сравнению с январем 2023 года отмечается рост цен на арматурную сталь (с 2 до 14%), кабельно-проводниковую продукцию (на 4%), горюче-смазочные материалы (на 1%), стальные трубы (на 1%) и запорно-регулирующую арматуру (на 1%). На 2% отмечается снижение цен на кирпич»,</w:t>
      </w:r>
      <w:r>
        <w:t xml:space="preserve"> </w:t>
      </w:r>
      <w:r>
        <w:t xml:space="preserve">— отметила Юлия Николенко.</w:t>
      </w:r>
    </w:p>
    <w:p>
      <w:pPr>
        <w:pStyle w:val="BodyText"/>
      </w:pPr>
      <w:r>
        <w:t xml:space="preserve">Без изменений относительно предыдущего периода остались цены на песок и щебень, бетонные смеси и пиломатериалы.</w:t>
      </w:r>
    </w:p>
    <w:p>
      <w:pPr>
        <w:pStyle w:val="BodyText"/>
      </w:pPr>
      <w:r>
        <w:t xml:space="preserve">В рамках актуализации и сопровождения территориальной сметно-нормативной базы для города Москвы (ТСН-2001) ГАУ «НИАЦ» уполномочен на проведение ежемесячного анализа отпускных цен на строительные ресурсы — материалы, изделия, конструкции. Полученные данные становятся основой сборников коэффициентов (индексов) пересчета в текущий уровень цен сметной стоимости строительно-монтажных работ, а также могут дать альтернативные варианты для импортозамещения.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2449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iac.mos.ru/www/media/Динамика%20изменения%20цен%20за%20февраль%202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49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http://niac.mos.ru/presscenter/news/detail/11457170.html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1457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1457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2024-09-15T20:19:20Z</dcterms:created>
  <dcterms:modified xsi:type="dcterms:W3CDTF">2024-09-15T20:19:20Z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