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оздравляем-с-днем-строителя"/>
    <w:p>
      <w:pPr>
        <w:pStyle w:val="Heading3"/>
      </w:pPr>
      <w:r>
        <w:t xml:space="preserve">Поздравляем с Днем строителя!</w:t>
      </w:r>
    </w:p>
    <w:p>
      <w:pPr>
        <w:pStyle w:val="FirstParagraph"/>
      </w:pPr>
      <w:r>
        <w:t xml:space="preserve">12.08.2022</w:t>
      </w:r>
    </w:p>
    <w:p>
      <w:pPr>
        <w:pStyle w:val="BodyText"/>
      </w:pPr>
      <w:r>
        <w:rPr>
          <w:bCs/>
          <w:b/>
        </w:rPr>
        <w:t xml:space="preserve">Уважаемые коллеги, дорогие друзья!</w:t>
      </w:r>
    </w:p>
    <w:p>
      <w:pPr>
        <w:pStyle w:val="BodyText"/>
      </w:pPr>
      <w:r>
        <w:t xml:space="preserve">От лица коллектива Москомэкспертизы и подведомственных организаций от всего сердца поздравляем Вас с Днем строителя!</w:t>
      </w:r>
    </w:p>
    <w:p>
      <w:pPr>
        <w:pStyle w:val="BodyText"/>
      </w:pPr>
      <w:r>
        <w:t xml:space="preserve">Строительство объединяет множество профессий — в его основе лежат как созидание архитекторов и дизайнеров, так и точная, выверенная работа конструкторов, экономистов и экспертов, тяжелый и самоотверженный труд строителей.</w:t>
      </w:r>
    </w:p>
    <w:p>
      <w:pPr>
        <w:pStyle w:val="BodyText"/>
      </w:pPr>
      <w:r>
        <w:t xml:space="preserve">Строительный сектор сегодня является важнейшей частью экономики. Благодаря высочайшему профессионализму московских строителей формируется наследие, которое ляжет в основу будущего благополучия. Уверены, что вместе, единой командой, мы сможем достигнуть еще очень многого на благо нашего любимого города.</w:t>
      </w:r>
    </w:p>
    <w:p>
      <w:pPr>
        <w:pStyle w:val="BodyText"/>
      </w:pPr>
      <w:r>
        <w:t xml:space="preserve">Желаем Вам крепкого здоровья, сил и вдохновения для новых профессиональных и личных достижений!</w:t>
      </w:r>
    </w:p>
    <w:p>
      <w:pPr>
        <w:pStyle w:val="BodyText"/>
      </w:pPr>
      <w:r>
        <w:rPr>
          <w:bCs/>
          <w:b/>
        </w:rPr>
        <w:t xml:space="preserve">С уважением,</w:t>
      </w:r>
    </w:p>
    <w:p>
      <w:pPr>
        <w:pStyle w:val="BodyText"/>
      </w:pPr>
      <w:bookmarkStart w:id="20" w:name="X446ca0aa106e6ca760d94bdc8f28132d83d0615"/>
      <w:bookmarkEnd w:id="20"/>
      <w:r>
        <w:rPr>
          <w:bCs/>
          <w:b/>
        </w:rPr>
        <w:t xml:space="preserve"> </w:t>
      </w:r>
      <w:r>
        <w:rPr>
          <w:bCs/>
          <w:b/>
        </w:rPr>
        <w:t xml:space="preserve">Коллектив Москомэкспертизы,</w:t>
      </w:r>
    </w:p>
    <w:p>
      <w:pPr>
        <w:pStyle w:val="BodyText"/>
      </w:pPr>
      <w:r>
        <w:rPr>
          <w:bCs/>
          <w:b/>
        </w:rPr>
        <w:t xml:space="preserve">Мосгосэкспертизы</w:t>
      </w:r>
    </w:p>
    <w:p>
      <w:pPr>
        <w:pStyle w:val="BodyText"/>
      </w:pPr>
      <w:r>
        <w:rPr>
          <w:bCs/>
          <w:b/>
        </w:rPr>
        <w:t xml:space="preserve">и ГАУ «НИАЦ»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http://niac.mos.ru/presscenter/news/detail/10990378.html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ГАУ города Москвы «Научно-исследовательский Аналитический Центр»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iac.mos.ru" TargetMode="External" /><Relationship Type="http://schemas.openxmlformats.org/officeDocument/2006/relationships/hyperlink" Id="rId21" Target="http://niac.mos.ru/presscenter/news/detail/109903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iac.mos.ru" TargetMode="External" /><Relationship Type="http://schemas.openxmlformats.org/officeDocument/2006/relationships/hyperlink" Id="rId21" Target="http://niac.mos.ru/presscenter/news/detail/109903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2024-03-18T02:55:41Z</dcterms:created>
  <dcterms:modified xsi:type="dcterms:W3CDTF">2024-03-18T02:55:41Z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